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1C" w:rsidRDefault="00B80A1C" w:rsidP="00B80A1C">
      <w:pPr>
        <w:kinsoku w:val="0"/>
        <w:overflowPunct w:val="0"/>
        <w:autoSpaceDE w:val="0"/>
        <w:autoSpaceDN w:val="0"/>
        <w:snapToGrid w:val="0"/>
        <w:spacing w:line="0" w:lineRule="atLeast"/>
        <w:ind w:left="480"/>
        <w:jc w:val="center"/>
        <w:rPr>
          <w:rFonts w:eastAsia="標楷體"/>
          <w:b/>
          <w:sz w:val="32"/>
          <w:szCs w:val="32"/>
        </w:rPr>
      </w:pPr>
      <w:r>
        <w:rPr>
          <w:rFonts w:eastAsia="標楷體" w:hint="eastAsia"/>
          <w:b/>
          <w:sz w:val="32"/>
          <w:szCs w:val="32"/>
        </w:rPr>
        <w:t>真理大學體育教育中心教師升等研究審查準則</w:t>
      </w:r>
    </w:p>
    <w:p w:rsidR="00B80A1C" w:rsidRDefault="00B80A1C" w:rsidP="00B80A1C">
      <w:pPr>
        <w:kinsoku w:val="0"/>
        <w:overflowPunct w:val="0"/>
        <w:autoSpaceDE w:val="0"/>
        <w:autoSpaceDN w:val="0"/>
        <w:snapToGrid w:val="0"/>
        <w:spacing w:line="240" w:lineRule="atLeast"/>
        <w:ind w:left="880" w:hangingChars="400" w:hanging="880"/>
        <w:jc w:val="right"/>
        <w:rPr>
          <w:rFonts w:eastAsia="標楷體"/>
          <w:bCs/>
          <w:sz w:val="20"/>
          <w:szCs w:val="20"/>
        </w:rPr>
      </w:pPr>
      <w:r>
        <w:rPr>
          <w:rFonts w:eastAsia="標楷體" w:hint="eastAsia"/>
          <w:spacing w:val="10"/>
          <w:sz w:val="20"/>
          <w:szCs w:val="20"/>
        </w:rPr>
        <w:t>民國</w:t>
      </w:r>
      <w:r>
        <w:rPr>
          <w:rFonts w:eastAsia="標楷體"/>
          <w:spacing w:val="10"/>
          <w:sz w:val="20"/>
          <w:szCs w:val="20"/>
        </w:rPr>
        <w:t>105</w:t>
      </w:r>
      <w:r>
        <w:rPr>
          <w:rFonts w:eastAsia="標楷體" w:hint="eastAsia"/>
          <w:spacing w:val="10"/>
          <w:sz w:val="20"/>
          <w:szCs w:val="20"/>
        </w:rPr>
        <w:t>年</w:t>
      </w:r>
      <w:r>
        <w:rPr>
          <w:rFonts w:eastAsia="標楷體"/>
          <w:spacing w:val="10"/>
          <w:sz w:val="20"/>
          <w:szCs w:val="20"/>
        </w:rPr>
        <w:t>9</w:t>
      </w:r>
      <w:r>
        <w:rPr>
          <w:rFonts w:eastAsia="標楷體" w:hint="eastAsia"/>
          <w:spacing w:val="10"/>
          <w:sz w:val="20"/>
          <w:szCs w:val="20"/>
        </w:rPr>
        <w:t>月</w:t>
      </w:r>
      <w:r>
        <w:rPr>
          <w:rFonts w:eastAsia="標楷體"/>
          <w:spacing w:val="10"/>
          <w:sz w:val="20"/>
          <w:szCs w:val="20"/>
        </w:rPr>
        <w:t>13</w:t>
      </w:r>
      <w:r>
        <w:rPr>
          <w:rFonts w:eastAsia="標楷體" w:hint="eastAsia"/>
          <w:spacing w:val="10"/>
          <w:sz w:val="20"/>
          <w:szCs w:val="20"/>
        </w:rPr>
        <w:t>日</w:t>
      </w:r>
      <w:r>
        <w:rPr>
          <w:rFonts w:eastAsia="標楷體"/>
          <w:spacing w:val="10"/>
          <w:sz w:val="20"/>
          <w:szCs w:val="20"/>
        </w:rPr>
        <w:t>105</w:t>
      </w:r>
      <w:r>
        <w:rPr>
          <w:rFonts w:eastAsia="標楷體" w:hint="eastAsia"/>
          <w:spacing w:val="10"/>
          <w:sz w:val="20"/>
          <w:szCs w:val="20"/>
        </w:rPr>
        <w:t>學年度第</w:t>
      </w:r>
      <w:r>
        <w:rPr>
          <w:rFonts w:eastAsia="標楷體"/>
          <w:spacing w:val="10"/>
          <w:sz w:val="20"/>
          <w:szCs w:val="20"/>
        </w:rPr>
        <w:t>1</w:t>
      </w:r>
      <w:r>
        <w:rPr>
          <w:rFonts w:eastAsia="標楷體" w:hint="eastAsia"/>
          <w:spacing w:val="10"/>
          <w:sz w:val="20"/>
          <w:szCs w:val="20"/>
        </w:rPr>
        <w:t>學期第</w:t>
      </w:r>
      <w:r>
        <w:rPr>
          <w:rFonts w:eastAsia="標楷體"/>
          <w:spacing w:val="10"/>
          <w:sz w:val="20"/>
          <w:szCs w:val="20"/>
        </w:rPr>
        <w:t>1</w:t>
      </w:r>
      <w:r>
        <w:rPr>
          <w:rFonts w:eastAsia="標楷體" w:hint="eastAsia"/>
          <w:spacing w:val="10"/>
          <w:sz w:val="20"/>
          <w:szCs w:val="20"/>
        </w:rPr>
        <w:t>次體育教育</w:t>
      </w:r>
      <w:r>
        <w:rPr>
          <w:rFonts w:eastAsia="標楷體" w:hint="eastAsia"/>
          <w:bCs/>
          <w:sz w:val="20"/>
          <w:szCs w:val="20"/>
        </w:rPr>
        <w:t>中心</w:t>
      </w:r>
      <w:r>
        <w:rPr>
          <w:rFonts w:eastAsia="標楷體" w:hint="eastAsia"/>
          <w:spacing w:val="10"/>
          <w:sz w:val="20"/>
          <w:szCs w:val="20"/>
        </w:rPr>
        <w:t>會議</w:t>
      </w:r>
      <w:r>
        <w:rPr>
          <w:rFonts w:eastAsia="標楷體" w:hint="eastAsia"/>
          <w:bCs/>
          <w:sz w:val="20"/>
          <w:szCs w:val="20"/>
        </w:rPr>
        <w:t>通過</w:t>
      </w:r>
    </w:p>
    <w:p w:rsidR="00B80A1C" w:rsidRDefault="00B80A1C" w:rsidP="00B80A1C">
      <w:pPr>
        <w:kinsoku w:val="0"/>
        <w:overflowPunct w:val="0"/>
        <w:autoSpaceDE w:val="0"/>
        <w:autoSpaceDN w:val="0"/>
        <w:snapToGrid w:val="0"/>
        <w:spacing w:line="240" w:lineRule="atLeast"/>
        <w:ind w:left="880" w:hangingChars="400" w:hanging="880"/>
        <w:jc w:val="right"/>
        <w:rPr>
          <w:rFonts w:eastAsia="標楷體"/>
          <w:spacing w:val="10"/>
          <w:sz w:val="20"/>
          <w:szCs w:val="20"/>
        </w:rPr>
      </w:pPr>
      <w:r>
        <w:rPr>
          <w:rFonts w:eastAsia="標楷體" w:hint="eastAsia"/>
          <w:spacing w:val="10"/>
          <w:sz w:val="20"/>
          <w:szCs w:val="20"/>
        </w:rPr>
        <w:t>民國</w:t>
      </w:r>
      <w:r>
        <w:rPr>
          <w:rFonts w:eastAsia="標楷體"/>
          <w:spacing w:val="10"/>
          <w:sz w:val="20"/>
          <w:szCs w:val="20"/>
        </w:rPr>
        <w:t>105</w:t>
      </w:r>
      <w:r>
        <w:rPr>
          <w:rFonts w:eastAsia="標楷體" w:hint="eastAsia"/>
          <w:spacing w:val="10"/>
          <w:sz w:val="20"/>
          <w:szCs w:val="20"/>
        </w:rPr>
        <w:t>年</w:t>
      </w:r>
      <w:r>
        <w:rPr>
          <w:rFonts w:eastAsia="標楷體"/>
          <w:spacing w:val="10"/>
          <w:sz w:val="20"/>
          <w:szCs w:val="20"/>
        </w:rPr>
        <w:t>10</w:t>
      </w:r>
      <w:r>
        <w:rPr>
          <w:rFonts w:eastAsia="標楷體" w:hint="eastAsia"/>
          <w:spacing w:val="10"/>
          <w:sz w:val="20"/>
          <w:szCs w:val="20"/>
        </w:rPr>
        <w:t>月</w:t>
      </w:r>
      <w:r>
        <w:rPr>
          <w:rFonts w:eastAsia="標楷體"/>
          <w:spacing w:val="10"/>
          <w:sz w:val="20"/>
          <w:szCs w:val="20"/>
        </w:rPr>
        <w:t>04</w:t>
      </w:r>
      <w:r>
        <w:rPr>
          <w:rFonts w:eastAsia="標楷體" w:hint="eastAsia"/>
          <w:spacing w:val="10"/>
          <w:sz w:val="20"/>
          <w:szCs w:val="20"/>
        </w:rPr>
        <w:t>日</w:t>
      </w:r>
      <w:r>
        <w:rPr>
          <w:rFonts w:eastAsia="標楷體"/>
          <w:spacing w:val="10"/>
          <w:sz w:val="20"/>
          <w:szCs w:val="20"/>
        </w:rPr>
        <w:t>105</w:t>
      </w:r>
      <w:r>
        <w:rPr>
          <w:rFonts w:eastAsia="標楷體" w:hint="eastAsia"/>
          <w:spacing w:val="10"/>
          <w:sz w:val="20"/>
          <w:szCs w:val="20"/>
        </w:rPr>
        <w:t>學年度第</w:t>
      </w:r>
      <w:r>
        <w:rPr>
          <w:rFonts w:eastAsia="標楷體"/>
          <w:spacing w:val="10"/>
          <w:sz w:val="20"/>
          <w:szCs w:val="20"/>
        </w:rPr>
        <w:t>1</w:t>
      </w:r>
      <w:r>
        <w:rPr>
          <w:rFonts w:eastAsia="標楷體" w:hint="eastAsia"/>
          <w:spacing w:val="10"/>
          <w:sz w:val="20"/>
          <w:szCs w:val="20"/>
        </w:rPr>
        <w:t>學期第</w:t>
      </w:r>
      <w:r>
        <w:rPr>
          <w:rFonts w:eastAsia="標楷體"/>
          <w:spacing w:val="10"/>
          <w:sz w:val="20"/>
          <w:szCs w:val="20"/>
        </w:rPr>
        <w:t>2</w:t>
      </w:r>
      <w:r>
        <w:rPr>
          <w:rFonts w:eastAsia="標楷體" w:hint="eastAsia"/>
          <w:spacing w:val="10"/>
          <w:sz w:val="20"/>
          <w:szCs w:val="20"/>
        </w:rPr>
        <w:t>次</w:t>
      </w:r>
      <w:r>
        <w:rPr>
          <w:rFonts w:eastAsia="標楷體" w:hint="eastAsia"/>
          <w:bCs/>
          <w:sz w:val="20"/>
          <w:szCs w:val="20"/>
        </w:rPr>
        <w:t>體育教育中心教學組</w:t>
      </w:r>
      <w:r>
        <w:rPr>
          <w:rFonts w:eastAsia="標楷體" w:hint="eastAsia"/>
          <w:spacing w:val="10"/>
          <w:sz w:val="20"/>
          <w:szCs w:val="20"/>
        </w:rPr>
        <w:t>會議</w:t>
      </w:r>
      <w:r>
        <w:rPr>
          <w:rFonts w:eastAsia="標楷體" w:hint="eastAsia"/>
          <w:bCs/>
          <w:sz w:val="20"/>
          <w:szCs w:val="20"/>
        </w:rPr>
        <w:t>通過</w:t>
      </w:r>
    </w:p>
    <w:p w:rsidR="00B80A1C" w:rsidRDefault="00B80A1C" w:rsidP="00B80A1C">
      <w:pPr>
        <w:kinsoku w:val="0"/>
        <w:overflowPunct w:val="0"/>
        <w:autoSpaceDE w:val="0"/>
        <w:autoSpaceDN w:val="0"/>
        <w:snapToGrid w:val="0"/>
        <w:spacing w:line="240" w:lineRule="atLeast"/>
        <w:ind w:left="880" w:hangingChars="400" w:hanging="880"/>
        <w:jc w:val="right"/>
        <w:rPr>
          <w:rFonts w:eastAsia="標楷體"/>
          <w:spacing w:val="10"/>
          <w:sz w:val="20"/>
          <w:szCs w:val="20"/>
        </w:rPr>
      </w:pPr>
      <w:r>
        <w:rPr>
          <w:rFonts w:eastAsia="標楷體" w:hint="eastAsia"/>
          <w:spacing w:val="10"/>
          <w:sz w:val="20"/>
          <w:szCs w:val="20"/>
        </w:rPr>
        <w:t>民國</w:t>
      </w:r>
      <w:r>
        <w:rPr>
          <w:rFonts w:eastAsia="標楷體"/>
          <w:spacing w:val="10"/>
          <w:sz w:val="20"/>
          <w:szCs w:val="20"/>
        </w:rPr>
        <w:t>105</w:t>
      </w:r>
      <w:r>
        <w:rPr>
          <w:rFonts w:eastAsia="標楷體" w:hint="eastAsia"/>
          <w:spacing w:val="10"/>
          <w:sz w:val="20"/>
          <w:szCs w:val="20"/>
        </w:rPr>
        <w:t>年</w:t>
      </w:r>
      <w:r>
        <w:rPr>
          <w:rFonts w:eastAsia="標楷體"/>
          <w:spacing w:val="10"/>
          <w:sz w:val="20"/>
          <w:szCs w:val="20"/>
        </w:rPr>
        <w:t>10</w:t>
      </w:r>
      <w:r>
        <w:rPr>
          <w:rFonts w:eastAsia="標楷體" w:hint="eastAsia"/>
          <w:spacing w:val="10"/>
          <w:sz w:val="20"/>
          <w:szCs w:val="20"/>
        </w:rPr>
        <w:t>月</w:t>
      </w:r>
      <w:r>
        <w:rPr>
          <w:rFonts w:eastAsia="標楷體"/>
          <w:spacing w:val="10"/>
          <w:sz w:val="20"/>
          <w:szCs w:val="20"/>
        </w:rPr>
        <w:t>04</w:t>
      </w:r>
      <w:r>
        <w:rPr>
          <w:rFonts w:eastAsia="標楷體" w:hint="eastAsia"/>
          <w:spacing w:val="10"/>
          <w:sz w:val="20"/>
          <w:szCs w:val="20"/>
        </w:rPr>
        <w:t>日</w:t>
      </w:r>
      <w:r>
        <w:rPr>
          <w:rFonts w:eastAsia="標楷體"/>
          <w:spacing w:val="10"/>
          <w:sz w:val="20"/>
          <w:szCs w:val="20"/>
        </w:rPr>
        <w:t>105</w:t>
      </w:r>
      <w:r>
        <w:rPr>
          <w:rFonts w:eastAsia="標楷體" w:hint="eastAsia"/>
          <w:spacing w:val="10"/>
          <w:sz w:val="20"/>
          <w:szCs w:val="20"/>
        </w:rPr>
        <w:t>學年度第</w:t>
      </w:r>
      <w:r>
        <w:rPr>
          <w:rFonts w:eastAsia="標楷體"/>
          <w:spacing w:val="10"/>
          <w:sz w:val="20"/>
          <w:szCs w:val="20"/>
        </w:rPr>
        <w:t>1</w:t>
      </w:r>
      <w:r>
        <w:rPr>
          <w:rFonts w:eastAsia="標楷體" w:hint="eastAsia"/>
          <w:spacing w:val="10"/>
          <w:sz w:val="20"/>
          <w:szCs w:val="20"/>
        </w:rPr>
        <w:t>學期第</w:t>
      </w:r>
      <w:r>
        <w:rPr>
          <w:rFonts w:eastAsia="標楷體"/>
          <w:spacing w:val="10"/>
          <w:sz w:val="20"/>
          <w:szCs w:val="20"/>
        </w:rPr>
        <w:t>2</w:t>
      </w:r>
      <w:r>
        <w:rPr>
          <w:rFonts w:eastAsia="標楷體" w:hint="eastAsia"/>
          <w:spacing w:val="10"/>
          <w:sz w:val="20"/>
          <w:szCs w:val="20"/>
        </w:rPr>
        <w:t>次</w:t>
      </w:r>
      <w:r>
        <w:rPr>
          <w:rFonts w:eastAsia="標楷體" w:hint="eastAsia"/>
          <w:bCs/>
          <w:sz w:val="20"/>
          <w:szCs w:val="20"/>
        </w:rPr>
        <w:t>體育教育中心</w:t>
      </w:r>
      <w:r>
        <w:rPr>
          <w:rFonts w:eastAsia="標楷體" w:hint="eastAsia"/>
          <w:spacing w:val="10"/>
          <w:sz w:val="20"/>
          <w:szCs w:val="20"/>
        </w:rPr>
        <w:t>會議</w:t>
      </w:r>
      <w:r>
        <w:rPr>
          <w:rFonts w:eastAsia="標楷體" w:hint="eastAsia"/>
          <w:bCs/>
          <w:sz w:val="20"/>
          <w:szCs w:val="20"/>
        </w:rPr>
        <w:t>通過</w:t>
      </w:r>
    </w:p>
    <w:p w:rsidR="00B80A1C" w:rsidRDefault="00B80A1C" w:rsidP="00B80A1C">
      <w:pPr>
        <w:kinsoku w:val="0"/>
        <w:overflowPunct w:val="0"/>
        <w:autoSpaceDE w:val="0"/>
        <w:autoSpaceDN w:val="0"/>
        <w:snapToGrid w:val="0"/>
        <w:spacing w:line="240" w:lineRule="atLeast"/>
        <w:ind w:left="880" w:hangingChars="400" w:hanging="880"/>
        <w:jc w:val="right"/>
        <w:rPr>
          <w:rFonts w:eastAsia="標楷體"/>
          <w:sz w:val="20"/>
          <w:szCs w:val="20"/>
        </w:rPr>
      </w:pPr>
      <w:r>
        <w:rPr>
          <w:rFonts w:eastAsia="標楷體" w:hint="eastAsia"/>
          <w:spacing w:val="10"/>
          <w:sz w:val="20"/>
          <w:szCs w:val="20"/>
        </w:rPr>
        <w:t xml:space="preserve"> </w:t>
      </w:r>
      <w:r>
        <w:rPr>
          <w:rFonts w:eastAsia="標楷體" w:hint="eastAsia"/>
          <w:spacing w:val="10"/>
          <w:sz w:val="20"/>
          <w:szCs w:val="20"/>
        </w:rPr>
        <w:t>民國</w:t>
      </w:r>
      <w:r>
        <w:rPr>
          <w:rFonts w:eastAsia="標楷體"/>
          <w:spacing w:val="10"/>
          <w:sz w:val="20"/>
          <w:szCs w:val="20"/>
        </w:rPr>
        <w:t>105</w:t>
      </w:r>
      <w:r>
        <w:rPr>
          <w:rFonts w:eastAsia="標楷體" w:hint="eastAsia"/>
          <w:spacing w:val="10"/>
          <w:sz w:val="20"/>
          <w:szCs w:val="20"/>
        </w:rPr>
        <w:t>年</w:t>
      </w:r>
      <w:r>
        <w:rPr>
          <w:rFonts w:eastAsia="標楷體"/>
          <w:spacing w:val="10"/>
          <w:sz w:val="20"/>
          <w:szCs w:val="20"/>
        </w:rPr>
        <w:t>1</w:t>
      </w:r>
      <w:r>
        <w:rPr>
          <w:rFonts w:eastAsia="標楷體" w:hint="eastAsia"/>
          <w:spacing w:val="10"/>
          <w:sz w:val="20"/>
          <w:szCs w:val="20"/>
        </w:rPr>
        <w:t>1</w:t>
      </w:r>
      <w:r>
        <w:rPr>
          <w:rFonts w:eastAsia="標楷體" w:hint="eastAsia"/>
          <w:spacing w:val="10"/>
          <w:sz w:val="20"/>
          <w:szCs w:val="20"/>
        </w:rPr>
        <w:t>月</w:t>
      </w:r>
      <w:r>
        <w:rPr>
          <w:rFonts w:eastAsia="標楷體"/>
          <w:spacing w:val="10"/>
          <w:sz w:val="20"/>
          <w:szCs w:val="20"/>
        </w:rPr>
        <w:t>2</w:t>
      </w:r>
      <w:r>
        <w:rPr>
          <w:rFonts w:eastAsia="標楷體" w:hint="eastAsia"/>
          <w:spacing w:val="10"/>
          <w:sz w:val="20"/>
          <w:szCs w:val="20"/>
        </w:rPr>
        <w:t>3</w:t>
      </w:r>
      <w:r>
        <w:rPr>
          <w:rFonts w:eastAsia="標楷體" w:hint="eastAsia"/>
          <w:spacing w:val="10"/>
          <w:sz w:val="20"/>
          <w:szCs w:val="20"/>
        </w:rPr>
        <w:t>日</w:t>
      </w:r>
      <w:r>
        <w:rPr>
          <w:rFonts w:eastAsia="標楷體"/>
          <w:spacing w:val="10"/>
          <w:sz w:val="20"/>
          <w:szCs w:val="20"/>
        </w:rPr>
        <w:t>105</w:t>
      </w:r>
      <w:r>
        <w:rPr>
          <w:rFonts w:eastAsia="標楷體" w:hint="eastAsia"/>
          <w:spacing w:val="10"/>
          <w:sz w:val="20"/>
          <w:szCs w:val="20"/>
        </w:rPr>
        <w:t>學年度第</w:t>
      </w:r>
      <w:r>
        <w:rPr>
          <w:rFonts w:eastAsia="標楷體"/>
          <w:spacing w:val="10"/>
          <w:sz w:val="20"/>
          <w:szCs w:val="20"/>
        </w:rPr>
        <w:t>1</w:t>
      </w:r>
      <w:r>
        <w:rPr>
          <w:rFonts w:eastAsia="標楷體" w:hint="eastAsia"/>
          <w:spacing w:val="10"/>
          <w:sz w:val="20"/>
          <w:szCs w:val="20"/>
        </w:rPr>
        <w:t>學期第</w:t>
      </w:r>
      <w:r>
        <w:rPr>
          <w:rFonts w:eastAsia="標楷體" w:hint="eastAsia"/>
          <w:spacing w:val="10"/>
          <w:sz w:val="20"/>
          <w:szCs w:val="20"/>
        </w:rPr>
        <w:t>3</w:t>
      </w:r>
      <w:r>
        <w:rPr>
          <w:rFonts w:eastAsia="標楷體" w:hint="eastAsia"/>
          <w:spacing w:val="10"/>
          <w:sz w:val="20"/>
          <w:szCs w:val="20"/>
        </w:rPr>
        <w:t>次</w:t>
      </w:r>
      <w:r>
        <w:rPr>
          <w:rFonts w:eastAsia="標楷體" w:hint="eastAsia"/>
          <w:bCs/>
          <w:sz w:val="20"/>
          <w:szCs w:val="20"/>
        </w:rPr>
        <w:t>體育教育中心</w:t>
      </w:r>
      <w:r>
        <w:rPr>
          <w:rFonts w:eastAsia="標楷體" w:hint="eastAsia"/>
          <w:spacing w:val="10"/>
          <w:sz w:val="20"/>
          <w:szCs w:val="20"/>
        </w:rPr>
        <w:t>會議</w:t>
      </w:r>
      <w:r>
        <w:rPr>
          <w:rFonts w:eastAsia="標楷體" w:hint="eastAsia"/>
          <w:bCs/>
          <w:sz w:val="20"/>
          <w:szCs w:val="20"/>
        </w:rPr>
        <w:t>通過</w:t>
      </w:r>
      <w:bookmarkStart w:id="0" w:name="_GoBack"/>
      <w:bookmarkEnd w:id="0"/>
    </w:p>
    <w:tbl>
      <w:tblPr>
        <w:tblW w:w="9562" w:type="dxa"/>
        <w:jc w:val="center"/>
        <w:tblCellSpacing w:w="15" w:type="dxa"/>
        <w:tblLook w:val="04A0" w:firstRow="1" w:lastRow="0" w:firstColumn="1" w:lastColumn="0" w:noHBand="0" w:noVBand="1"/>
      </w:tblPr>
      <w:tblGrid>
        <w:gridCol w:w="1057"/>
        <w:gridCol w:w="8505"/>
      </w:tblGrid>
      <w:tr w:rsidR="00B80A1C" w:rsidTr="006C316E">
        <w:trPr>
          <w:tblCellSpacing w:w="15" w:type="dxa"/>
          <w:jc w:val="center"/>
        </w:trPr>
        <w:tc>
          <w:tcPr>
            <w:tcW w:w="1012" w:type="dxa"/>
            <w:tcMar>
              <w:top w:w="15" w:type="dxa"/>
              <w:left w:w="15" w:type="dxa"/>
              <w:bottom w:w="15" w:type="dxa"/>
              <w:right w:w="15" w:type="dxa"/>
            </w:tcMar>
            <w:hideMark/>
          </w:tcPr>
          <w:p w:rsidR="00B80A1C" w:rsidRDefault="00B80A1C" w:rsidP="006C316E">
            <w:pPr>
              <w:widowControl/>
              <w:kinsoku w:val="0"/>
              <w:overflowPunct w:val="0"/>
              <w:autoSpaceDE w:val="0"/>
              <w:autoSpaceDN w:val="0"/>
              <w:snapToGrid w:val="0"/>
              <w:spacing w:line="240" w:lineRule="atLeast"/>
              <w:rPr>
                <w:rFonts w:eastAsia="標楷體"/>
                <w:sz w:val="28"/>
                <w:szCs w:val="28"/>
              </w:rPr>
            </w:pPr>
            <w:r>
              <w:rPr>
                <w:rFonts w:eastAsia="標楷體" w:hint="eastAsia"/>
                <w:sz w:val="28"/>
                <w:szCs w:val="28"/>
              </w:rPr>
              <w:t>第一條</w:t>
            </w:r>
          </w:p>
        </w:tc>
        <w:tc>
          <w:tcPr>
            <w:tcW w:w="8460" w:type="dxa"/>
            <w:tcMar>
              <w:top w:w="15" w:type="dxa"/>
              <w:left w:w="15" w:type="dxa"/>
              <w:bottom w:w="15" w:type="dxa"/>
              <w:right w:w="15" w:type="dxa"/>
            </w:tcMar>
            <w:hideMark/>
          </w:tcPr>
          <w:p w:rsidR="00B80A1C" w:rsidRDefault="00B80A1C" w:rsidP="006C316E">
            <w:pPr>
              <w:widowControl/>
              <w:kinsoku w:val="0"/>
              <w:overflowPunct w:val="0"/>
              <w:autoSpaceDE w:val="0"/>
              <w:autoSpaceDN w:val="0"/>
              <w:snapToGrid w:val="0"/>
              <w:spacing w:line="240" w:lineRule="atLeast"/>
              <w:rPr>
                <w:rFonts w:eastAsia="標楷體"/>
                <w:sz w:val="28"/>
                <w:szCs w:val="28"/>
              </w:rPr>
            </w:pPr>
            <w:r>
              <w:rPr>
                <w:rFonts w:eastAsia="標楷體" w:hint="eastAsia"/>
                <w:sz w:val="28"/>
                <w:szCs w:val="28"/>
              </w:rPr>
              <w:t>為辦理本中心教師升等之申請，特依教育部頒訂之「專科以上學校教師資格審定辦法」、「教師資格送審作業須知」及本校「真理大學教師聘任升等資格審查辦法」，訂定「真理大學體育教育中心教師以專門著作升等審查準則」</w:t>
            </w:r>
            <w:r>
              <w:rPr>
                <w:rFonts w:eastAsia="標楷體"/>
                <w:sz w:val="28"/>
                <w:szCs w:val="28"/>
              </w:rPr>
              <w:t>(</w:t>
            </w:r>
            <w:r>
              <w:rPr>
                <w:rFonts w:eastAsia="標楷體" w:hint="eastAsia"/>
                <w:sz w:val="28"/>
                <w:szCs w:val="28"/>
              </w:rPr>
              <w:t>以下簡稱本準則</w:t>
            </w:r>
            <w:r>
              <w:rPr>
                <w:rFonts w:eastAsia="標楷體"/>
                <w:sz w:val="28"/>
                <w:szCs w:val="28"/>
              </w:rPr>
              <w:t>)</w:t>
            </w:r>
            <w:r>
              <w:rPr>
                <w:rFonts w:eastAsia="標楷體" w:hint="eastAsia"/>
                <w:sz w:val="28"/>
                <w:szCs w:val="28"/>
              </w:rPr>
              <w:t>。</w:t>
            </w:r>
          </w:p>
        </w:tc>
      </w:tr>
      <w:tr w:rsidR="00B80A1C" w:rsidTr="006C316E">
        <w:trPr>
          <w:trHeight w:val="403"/>
          <w:tblCellSpacing w:w="15" w:type="dxa"/>
          <w:jc w:val="center"/>
        </w:trPr>
        <w:tc>
          <w:tcPr>
            <w:tcW w:w="1012" w:type="dxa"/>
            <w:tcMar>
              <w:top w:w="15" w:type="dxa"/>
              <w:left w:w="15" w:type="dxa"/>
              <w:bottom w:w="15" w:type="dxa"/>
              <w:right w:w="15" w:type="dxa"/>
            </w:tcMar>
            <w:hideMark/>
          </w:tcPr>
          <w:p w:rsidR="00B80A1C" w:rsidRDefault="00B80A1C" w:rsidP="006C316E">
            <w:pPr>
              <w:widowControl/>
              <w:kinsoku w:val="0"/>
              <w:overflowPunct w:val="0"/>
              <w:autoSpaceDE w:val="0"/>
              <w:autoSpaceDN w:val="0"/>
              <w:snapToGrid w:val="0"/>
              <w:spacing w:line="240" w:lineRule="atLeast"/>
              <w:rPr>
                <w:rFonts w:eastAsia="標楷體"/>
                <w:sz w:val="28"/>
                <w:szCs w:val="28"/>
              </w:rPr>
            </w:pPr>
            <w:r>
              <w:rPr>
                <w:rFonts w:eastAsia="標楷體" w:hint="eastAsia"/>
                <w:sz w:val="28"/>
                <w:szCs w:val="28"/>
              </w:rPr>
              <w:t>第二條</w:t>
            </w:r>
          </w:p>
        </w:tc>
        <w:tc>
          <w:tcPr>
            <w:tcW w:w="8460" w:type="dxa"/>
            <w:tcMar>
              <w:top w:w="15" w:type="dxa"/>
              <w:left w:w="15" w:type="dxa"/>
              <w:bottom w:w="15" w:type="dxa"/>
              <w:right w:w="15" w:type="dxa"/>
            </w:tcMar>
            <w:hideMark/>
          </w:tcPr>
          <w:p w:rsidR="00B80A1C" w:rsidRDefault="00B80A1C" w:rsidP="006C316E">
            <w:pPr>
              <w:kinsoku w:val="0"/>
              <w:overflowPunct w:val="0"/>
              <w:autoSpaceDE w:val="0"/>
              <w:autoSpaceDN w:val="0"/>
              <w:snapToGrid w:val="0"/>
              <w:spacing w:line="240" w:lineRule="atLeast"/>
              <w:ind w:rightChars="-24" w:right="-58"/>
              <w:jc w:val="both"/>
              <w:rPr>
                <w:rFonts w:eastAsia="標楷體"/>
                <w:color w:val="000000"/>
                <w:sz w:val="28"/>
                <w:szCs w:val="28"/>
              </w:rPr>
            </w:pPr>
            <w:r>
              <w:rPr>
                <w:rFonts w:eastAsia="標楷體" w:hint="eastAsia"/>
                <w:color w:val="000000"/>
                <w:sz w:val="28"/>
                <w:szCs w:val="28"/>
              </w:rPr>
              <w:t>本準則依本校</w:t>
            </w:r>
            <w:r>
              <w:rPr>
                <w:rFonts w:eastAsia="標楷體" w:hint="eastAsia"/>
                <w:sz w:val="28"/>
                <w:szCs w:val="28"/>
              </w:rPr>
              <w:t>「真理大學教師聘任升等資格審查辦法」第五條之規定訂定</w:t>
            </w:r>
            <w:r>
              <w:rPr>
                <w:rFonts w:eastAsia="標楷體" w:hint="eastAsia"/>
                <w:color w:val="000000"/>
                <w:sz w:val="28"/>
                <w:szCs w:val="28"/>
              </w:rPr>
              <w:t>。</w:t>
            </w:r>
          </w:p>
        </w:tc>
      </w:tr>
      <w:tr w:rsidR="00B80A1C" w:rsidTr="006C316E">
        <w:trPr>
          <w:tblCellSpacing w:w="15" w:type="dxa"/>
          <w:jc w:val="center"/>
        </w:trPr>
        <w:tc>
          <w:tcPr>
            <w:tcW w:w="1012" w:type="dxa"/>
            <w:tcMar>
              <w:top w:w="15" w:type="dxa"/>
              <w:left w:w="15" w:type="dxa"/>
              <w:bottom w:w="15" w:type="dxa"/>
              <w:right w:w="15" w:type="dxa"/>
            </w:tcMar>
          </w:tcPr>
          <w:p w:rsidR="00B80A1C" w:rsidRDefault="00B80A1C" w:rsidP="006C316E">
            <w:pPr>
              <w:widowControl/>
              <w:kinsoku w:val="0"/>
              <w:overflowPunct w:val="0"/>
              <w:autoSpaceDE w:val="0"/>
              <w:autoSpaceDN w:val="0"/>
              <w:snapToGrid w:val="0"/>
              <w:spacing w:line="240" w:lineRule="atLeast"/>
              <w:rPr>
                <w:rFonts w:eastAsia="標楷體"/>
                <w:sz w:val="28"/>
                <w:szCs w:val="28"/>
              </w:rPr>
            </w:pPr>
            <w:r>
              <w:rPr>
                <w:rFonts w:eastAsia="標楷體" w:hint="eastAsia"/>
                <w:sz w:val="28"/>
                <w:szCs w:val="28"/>
              </w:rPr>
              <w:t>第三條</w:t>
            </w:r>
          </w:p>
          <w:p w:rsidR="00B80A1C" w:rsidRDefault="00B80A1C" w:rsidP="006C316E">
            <w:pPr>
              <w:widowControl/>
              <w:kinsoku w:val="0"/>
              <w:overflowPunct w:val="0"/>
              <w:autoSpaceDE w:val="0"/>
              <w:autoSpaceDN w:val="0"/>
              <w:snapToGrid w:val="0"/>
              <w:spacing w:line="240" w:lineRule="atLeast"/>
              <w:rPr>
                <w:rFonts w:eastAsia="標楷體"/>
                <w:sz w:val="28"/>
                <w:szCs w:val="28"/>
              </w:rPr>
            </w:pPr>
          </w:p>
          <w:p w:rsidR="00B80A1C" w:rsidRDefault="00B80A1C" w:rsidP="006C316E">
            <w:pPr>
              <w:widowControl/>
              <w:kinsoku w:val="0"/>
              <w:overflowPunct w:val="0"/>
              <w:autoSpaceDE w:val="0"/>
              <w:autoSpaceDN w:val="0"/>
              <w:snapToGrid w:val="0"/>
              <w:spacing w:line="240" w:lineRule="atLeast"/>
              <w:rPr>
                <w:rFonts w:eastAsia="標楷體"/>
                <w:sz w:val="28"/>
                <w:szCs w:val="28"/>
              </w:rPr>
            </w:pPr>
          </w:p>
        </w:tc>
        <w:tc>
          <w:tcPr>
            <w:tcW w:w="8460" w:type="dxa"/>
            <w:tcMar>
              <w:top w:w="15" w:type="dxa"/>
              <w:left w:w="15" w:type="dxa"/>
              <w:bottom w:w="15" w:type="dxa"/>
              <w:right w:w="15" w:type="dxa"/>
            </w:tcMar>
            <w:hideMark/>
          </w:tcPr>
          <w:p w:rsidR="00B80A1C" w:rsidRDefault="00B80A1C" w:rsidP="006C316E">
            <w:pPr>
              <w:kinsoku w:val="0"/>
              <w:overflowPunct w:val="0"/>
              <w:autoSpaceDE w:val="0"/>
              <w:autoSpaceDN w:val="0"/>
              <w:snapToGrid w:val="0"/>
              <w:spacing w:line="240" w:lineRule="atLeast"/>
              <w:jc w:val="both"/>
              <w:rPr>
                <w:rFonts w:eastAsia="標楷體"/>
                <w:color w:val="000000"/>
                <w:sz w:val="28"/>
                <w:szCs w:val="28"/>
              </w:rPr>
            </w:pPr>
            <w:r>
              <w:rPr>
                <w:rFonts w:eastAsia="標楷體" w:hint="eastAsia"/>
                <w:sz w:val="28"/>
                <w:szCs w:val="28"/>
              </w:rPr>
              <w:t>各申請案審查成績依申請人近七年學術研究能力及體育成就進行評分，此段時間內曾生產或請</w:t>
            </w:r>
            <w:proofErr w:type="gramStart"/>
            <w:r>
              <w:rPr>
                <w:rFonts w:eastAsia="標楷體" w:hint="eastAsia"/>
                <w:sz w:val="28"/>
                <w:szCs w:val="28"/>
              </w:rPr>
              <w:t>育嬰假者得</w:t>
            </w:r>
            <w:proofErr w:type="gramEnd"/>
            <w:r>
              <w:rPr>
                <w:rFonts w:eastAsia="標楷體" w:hint="eastAsia"/>
                <w:sz w:val="28"/>
                <w:szCs w:val="28"/>
              </w:rPr>
              <w:t>延長至近九年。研究著作及體育成就</w:t>
            </w:r>
            <w:r>
              <w:rPr>
                <w:rFonts w:eastAsia="標楷體"/>
                <w:sz w:val="28"/>
                <w:szCs w:val="28"/>
              </w:rPr>
              <w:t>(</w:t>
            </w:r>
            <w:r>
              <w:rPr>
                <w:rFonts w:eastAsia="標楷體" w:hint="eastAsia"/>
                <w:sz w:val="28"/>
                <w:szCs w:val="28"/>
              </w:rPr>
              <w:t>最高以</w:t>
            </w:r>
            <w:r>
              <w:rPr>
                <w:rFonts w:eastAsia="標楷體"/>
                <w:sz w:val="28"/>
                <w:szCs w:val="28"/>
              </w:rPr>
              <w:t>20</w:t>
            </w:r>
            <w:r>
              <w:rPr>
                <w:rFonts w:eastAsia="標楷體" w:hint="eastAsia"/>
                <w:sz w:val="28"/>
                <w:szCs w:val="28"/>
              </w:rPr>
              <w:t>點為限</w:t>
            </w:r>
            <w:r>
              <w:rPr>
                <w:rFonts w:eastAsia="標楷體"/>
                <w:sz w:val="28"/>
                <w:szCs w:val="28"/>
              </w:rPr>
              <w:t>)</w:t>
            </w:r>
            <w:r>
              <w:rPr>
                <w:rFonts w:eastAsia="標楷體" w:hint="eastAsia"/>
                <w:sz w:val="28"/>
                <w:szCs w:val="28"/>
              </w:rPr>
              <w:t>點數計算如下：</w:t>
            </w:r>
          </w:p>
          <w:p w:rsidR="00B80A1C" w:rsidRDefault="00B80A1C" w:rsidP="00B80A1C">
            <w:pPr>
              <w:numPr>
                <w:ilvl w:val="0"/>
                <w:numId w:val="1"/>
              </w:numPr>
              <w:snapToGrid w:val="0"/>
              <w:spacing w:line="240" w:lineRule="atLeast"/>
              <w:rPr>
                <w:rFonts w:eastAsia="標楷體"/>
                <w:sz w:val="28"/>
                <w:szCs w:val="28"/>
              </w:rPr>
            </w:pPr>
            <w:r>
              <w:rPr>
                <w:rFonts w:eastAsia="標楷體" w:hint="eastAsia"/>
                <w:sz w:val="28"/>
                <w:szCs w:val="28"/>
              </w:rPr>
              <w:t>發表於</w:t>
            </w:r>
            <w:r>
              <w:rPr>
                <w:rFonts w:eastAsia="標楷體"/>
                <w:sz w:val="28"/>
                <w:szCs w:val="28"/>
              </w:rPr>
              <w:t>SCI</w:t>
            </w:r>
            <w:r>
              <w:rPr>
                <w:rFonts w:eastAsia="標楷體" w:hint="eastAsia"/>
                <w:sz w:val="28"/>
                <w:szCs w:val="28"/>
              </w:rPr>
              <w:t>、</w:t>
            </w:r>
            <w:r>
              <w:rPr>
                <w:rFonts w:eastAsia="標楷體"/>
                <w:sz w:val="28"/>
                <w:szCs w:val="28"/>
              </w:rPr>
              <w:t>SSCI</w:t>
            </w:r>
            <w:r>
              <w:rPr>
                <w:rFonts w:eastAsia="標楷體" w:hint="eastAsia"/>
                <w:sz w:val="28"/>
                <w:szCs w:val="28"/>
              </w:rPr>
              <w:t>、</w:t>
            </w:r>
            <w:r>
              <w:rPr>
                <w:rFonts w:eastAsia="標楷體"/>
                <w:sz w:val="28"/>
                <w:szCs w:val="28"/>
              </w:rPr>
              <w:t>AHCI</w:t>
            </w:r>
            <w:r>
              <w:rPr>
                <w:rFonts w:eastAsia="標楷體" w:hint="eastAsia"/>
                <w:sz w:val="28"/>
                <w:szCs w:val="28"/>
              </w:rPr>
              <w:t>、每篇</w:t>
            </w:r>
            <w:r>
              <w:rPr>
                <w:rFonts w:eastAsia="標楷體"/>
                <w:sz w:val="28"/>
                <w:szCs w:val="28"/>
              </w:rPr>
              <w:t>50</w:t>
            </w:r>
            <w:r>
              <w:rPr>
                <w:rFonts w:eastAsia="標楷體" w:hint="eastAsia"/>
                <w:sz w:val="28"/>
                <w:szCs w:val="28"/>
              </w:rPr>
              <w:t>點。</w:t>
            </w:r>
          </w:p>
          <w:p w:rsidR="00B80A1C" w:rsidRDefault="00B80A1C" w:rsidP="00B80A1C">
            <w:pPr>
              <w:numPr>
                <w:ilvl w:val="0"/>
                <w:numId w:val="1"/>
              </w:numPr>
              <w:snapToGrid w:val="0"/>
              <w:spacing w:line="240" w:lineRule="atLeast"/>
              <w:ind w:left="907" w:hanging="567"/>
              <w:rPr>
                <w:rFonts w:eastAsia="標楷體"/>
                <w:sz w:val="28"/>
                <w:szCs w:val="28"/>
              </w:rPr>
            </w:pPr>
            <w:r>
              <w:rPr>
                <w:rFonts w:eastAsia="標楷體" w:hint="eastAsia"/>
                <w:sz w:val="28"/>
                <w:szCs w:val="28"/>
              </w:rPr>
              <w:t>發表於</w:t>
            </w:r>
            <w:r>
              <w:rPr>
                <w:rFonts w:eastAsia="標楷體"/>
                <w:sz w:val="28"/>
                <w:szCs w:val="28"/>
              </w:rPr>
              <w:t>TSSCI</w:t>
            </w:r>
            <w:r>
              <w:rPr>
                <w:rFonts w:eastAsia="標楷體" w:hint="eastAsia"/>
                <w:sz w:val="28"/>
                <w:szCs w:val="28"/>
              </w:rPr>
              <w:t>、</w:t>
            </w:r>
            <w:r>
              <w:rPr>
                <w:rFonts w:eastAsia="標楷體"/>
                <w:sz w:val="28"/>
                <w:szCs w:val="28"/>
              </w:rPr>
              <w:t>EI</w:t>
            </w:r>
            <w:r>
              <w:rPr>
                <w:rFonts w:eastAsia="標楷體" w:hint="eastAsia"/>
                <w:sz w:val="28"/>
                <w:szCs w:val="28"/>
              </w:rPr>
              <w:t>，每篇</w:t>
            </w:r>
            <w:r>
              <w:rPr>
                <w:rFonts w:eastAsia="標楷體"/>
                <w:sz w:val="28"/>
                <w:szCs w:val="28"/>
              </w:rPr>
              <w:t>35</w:t>
            </w:r>
            <w:r>
              <w:rPr>
                <w:rFonts w:eastAsia="標楷體" w:hint="eastAsia"/>
                <w:sz w:val="28"/>
                <w:szCs w:val="28"/>
              </w:rPr>
              <w:t>點。</w:t>
            </w:r>
          </w:p>
          <w:p w:rsidR="00B80A1C" w:rsidRDefault="00B80A1C" w:rsidP="00B80A1C">
            <w:pPr>
              <w:numPr>
                <w:ilvl w:val="0"/>
                <w:numId w:val="1"/>
              </w:numPr>
              <w:snapToGrid w:val="0"/>
              <w:spacing w:line="240" w:lineRule="atLeast"/>
              <w:ind w:left="907" w:hanging="567"/>
              <w:rPr>
                <w:rFonts w:eastAsia="標楷體"/>
                <w:sz w:val="28"/>
                <w:szCs w:val="28"/>
              </w:rPr>
            </w:pPr>
            <w:proofErr w:type="gramStart"/>
            <w:r>
              <w:rPr>
                <w:rFonts w:eastAsia="標楷體" w:hint="eastAsia"/>
                <w:sz w:val="28"/>
                <w:szCs w:val="28"/>
              </w:rPr>
              <w:t>科技部各學門</w:t>
            </w:r>
            <w:proofErr w:type="gramEnd"/>
            <w:r>
              <w:rPr>
                <w:rFonts w:eastAsia="標楷體" w:hint="eastAsia"/>
                <w:sz w:val="28"/>
                <w:szCs w:val="28"/>
              </w:rPr>
              <w:t>期刊評比刊物，第一級</w:t>
            </w:r>
            <w:r>
              <w:rPr>
                <w:rFonts w:eastAsia="標楷體"/>
                <w:sz w:val="28"/>
                <w:szCs w:val="28"/>
              </w:rPr>
              <w:t>35</w:t>
            </w:r>
            <w:r>
              <w:rPr>
                <w:rFonts w:eastAsia="標楷體" w:hint="eastAsia"/>
                <w:sz w:val="28"/>
                <w:szCs w:val="28"/>
              </w:rPr>
              <w:t>點、第二級</w:t>
            </w:r>
            <w:r>
              <w:rPr>
                <w:rFonts w:eastAsia="標楷體"/>
                <w:sz w:val="28"/>
                <w:szCs w:val="28"/>
              </w:rPr>
              <w:t>25</w:t>
            </w:r>
            <w:r>
              <w:rPr>
                <w:rFonts w:eastAsia="標楷體" w:hint="eastAsia"/>
                <w:sz w:val="28"/>
                <w:szCs w:val="28"/>
              </w:rPr>
              <w:t>點、第三級</w:t>
            </w:r>
            <w:r>
              <w:rPr>
                <w:rFonts w:eastAsia="標楷體" w:hint="eastAsia"/>
                <w:sz w:val="28"/>
                <w:szCs w:val="28"/>
              </w:rPr>
              <w:t>20</w:t>
            </w:r>
            <w:r>
              <w:rPr>
                <w:rFonts w:eastAsia="標楷體" w:hint="eastAsia"/>
                <w:sz w:val="28"/>
                <w:szCs w:val="28"/>
              </w:rPr>
              <w:t>點、國際學術研討會發表論文</w:t>
            </w:r>
            <w:r>
              <w:rPr>
                <w:rFonts w:eastAsia="標楷體"/>
                <w:sz w:val="28"/>
                <w:szCs w:val="28"/>
              </w:rPr>
              <w:t>1</w:t>
            </w:r>
            <w:r>
              <w:rPr>
                <w:rFonts w:eastAsia="標楷體" w:hint="eastAsia"/>
                <w:sz w:val="28"/>
                <w:szCs w:val="28"/>
              </w:rPr>
              <w:t>2</w:t>
            </w:r>
            <w:r>
              <w:rPr>
                <w:rFonts w:eastAsia="標楷體" w:hint="eastAsia"/>
                <w:sz w:val="28"/>
                <w:szCs w:val="28"/>
              </w:rPr>
              <w:t>點。</w:t>
            </w:r>
          </w:p>
          <w:p w:rsidR="00B80A1C" w:rsidRDefault="00B80A1C" w:rsidP="006C316E">
            <w:pPr>
              <w:snapToGrid w:val="0"/>
              <w:spacing w:line="240" w:lineRule="atLeast"/>
              <w:ind w:left="907"/>
              <w:rPr>
                <w:rFonts w:eastAsia="標楷體"/>
                <w:b/>
                <w:sz w:val="28"/>
                <w:szCs w:val="28"/>
              </w:rPr>
            </w:pPr>
            <w:r>
              <w:rPr>
                <w:rFonts w:eastAsia="標楷體"/>
                <w:b/>
                <w:sz w:val="28"/>
                <w:szCs w:val="28"/>
              </w:rPr>
              <w:t>(</w:t>
            </w:r>
            <w:r>
              <w:rPr>
                <w:rFonts w:eastAsia="標楷體" w:hint="eastAsia"/>
                <w:b/>
                <w:sz w:val="28"/>
                <w:szCs w:val="28"/>
              </w:rPr>
              <w:t>以當學年科技部公告各學門期刊評比刊物</w:t>
            </w:r>
            <w:r>
              <w:rPr>
                <w:rFonts w:eastAsia="標楷體"/>
                <w:b/>
                <w:sz w:val="28"/>
                <w:szCs w:val="28"/>
              </w:rPr>
              <w:t>)</w:t>
            </w:r>
          </w:p>
          <w:p w:rsidR="00B80A1C" w:rsidRDefault="00B80A1C" w:rsidP="00B80A1C">
            <w:pPr>
              <w:numPr>
                <w:ilvl w:val="0"/>
                <w:numId w:val="1"/>
              </w:numPr>
              <w:snapToGrid w:val="0"/>
              <w:spacing w:line="240" w:lineRule="atLeast"/>
              <w:ind w:left="907" w:hanging="567"/>
              <w:rPr>
                <w:rFonts w:eastAsia="標楷體"/>
                <w:sz w:val="28"/>
                <w:szCs w:val="28"/>
              </w:rPr>
            </w:pPr>
            <w:r>
              <w:rPr>
                <w:rFonts w:eastAsia="標楷體" w:hint="eastAsia"/>
                <w:sz w:val="28"/>
                <w:szCs w:val="28"/>
              </w:rPr>
              <w:t>有審</w:t>
            </w:r>
            <w:proofErr w:type="gramStart"/>
            <w:r>
              <w:rPr>
                <w:rFonts w:eastAsia="標楷體" w:hint="eastAsia"/>
                <w:sz w:val="28"/>
                <w:szCs w:val="28"/>
              </w:rPr>
              <w:t>稿制且</w:t>
            </w:r>
            <w:proofErr w:type="gramEnd"/>
            <w:r>
              <w:rPr>
                <w:rFonts w:eastAsia="標楷體" w:hint="eastAsia"/>
                <w:sz w:val="28"/>
                <w:szCs w:val="28"/>
              </w:rPr>
              <w:t>有</w:t>
            </w:r>
            <w:r>
              <w:rPr>
                <w:rFonts w:eastAsia="標楷體"/>
                <w:sz w:val="28"/>
                <w:szCs w:val="28"/>
              </w:rPr>
              <w:t>ISSN</w:t>
            </w:r>
            <w:r>
              <w:rPr>
                <w:rFonts w:eastAsia="標楷體" w:hint="eastAsia"/>
                <w:sz w:val="28"/>
                <w:szCs w:val="28"/>
              </w:rPr>
              <w:t>期刊</w:t>
            </w:r>
            <w:r>
              <w:rPr>
                <w:rFonts w:eastAsia="標楷體" w:hint="eastAsia"/>
                <w:sz w:val="28"/>
                <w:szCs w:val="28"/>
              </w:rPr>
              <w:t>18</w:t>
            </w:r>
            <w:r>
              <w:rPr>
                <w:rFonts w:eastAsia="標楷體" w:hint="eastAsia"/>
                <w:sz w:val="28"/>
                <w:szCs w:val="28"/>
              </w:rPr>
              <w:t>點、國內舉辦國際學術研討會論文發表與校際研討會論文發表有審</w:t>
            </w:r>
            <w:proofErr w:type="gramStart"/>
            <w:r>
              <w:rPr>
                <w:rFonts w:eastAsia="標楷體" w:hint="eastAsia"/>
                <w:sz w:val="28"/>
                <w:szCs w:val="28"/>
              </w:rPr>
              <w:t>稿制且</w:t>
            </w:r>
            <w:proofErr w:type="gramEnd"/>
            <w:r>
              <w:rPr>
                <w:rFonts w:eastAsia="標楷體" w:hint="eastAsia"/>
                <w:sz w:val="28"/>
                <w:szCs w:val="28"/>
              </w:rPr>
              <w:t>有</w:t>
            </w:r>
            <w:r>
              <w:rPr>
                <w:rFonts w:eastAsia="標楷體"/>
                <w:sz w:val="28"/>
                <w:szCs w:val="28"/>
              </w:rPr>
              <w:t>ISBN</w:t>
            </w:r>
            <w:r>
              <w:rPr>
                <w:rFonts w:eastAsia="標楷體" w:hint="eastAsia"/>
                <w:sz w:val="28"/>
                <w:szCs w:val="28"/>
              </w:rPr>
              <w:t>、專門著作</w:t>
            </w:r>
            <w:r>
              <w:rPr>
                <w:rFonts w:eastAsia="標楷體"/>
                <w:sz w:val="28"/>
                <w:szCs w:val="28"/>
              </w:rPr>
              <w:t>(</w:t>
            </w:r>
            <w:r>
              <w:rPr>
                <w:rFonts w:eastAsia="標楷體" w:hint="eastAsia"/>
                <w:sz w:val="28"/>
                <w:szCs w:val="28"/>
              </w:rPr>
              <w:t>專書</w:t>
            </w:r>
            <w:r>
              <w:rPr>
                <w:rFonts w:eastAsia="標楷體"/>
                <w:sz w:val="28"/>
                <w:szCs w:val="28"/>
              </w:rPr>
              <w:t>)1</w:t>
            </w:r>
            <w:r>
              <w:rPr>
                <w:rFonts w:eastAsia="標楷體" w:hint="eastAsia"/>
                <w:sz w:val="28"/>
                <w:szCs w:val="28"/>
              </w:rPr>
              <w:t>0</w:t>
            </w:r>
            <w:r>
              <w:rPr>
                <w:rFonts w:eastAsia="標楷體" w:hint="eastAsia"/>
                <w:sz w:val="28"/>
                <w:szCs w:val="28"/>
              </w:rPr>
              <w:t>點，無審</w:t>
            </w:r>
            <w:proofErr w:type="gramStart"/>
            <w:r>
              <w:rPr>
                <w:rFonts w:eastAsia="標楷體" w:hint="eastAsia"/>
                <w:sz w:val="28"/>
                <w:szCs w:val="28"/>
              </w:rPr>
              <w:t>稿制但</w:t>
            </w:r>
            <w:proofErr w:type="gramEnd"/>
            <w:r>
              <w:rPr>
                <w:rFonts w:eastAsia="標楷體" w:hint="eastAsia"/>
                <w:sz w:val="28"/>
                <w:szCs w:val="28"/>
              </w:rPr>
              <w:t>有</w:t>
            </w:r>
            <w:r>
              <w:rPr>
                <w:rFonts w:eastAsia="標楷體"/>
                <w:sz w:val="28"/>
                <w:szCs w:val="28"/>
              </w:rPr>
              <w:t>ISSN</w:t>
            </w:r>
            <w:r>
              <w:rPr>
                <w:rFonts w:eastAsia="標楷體" w:hint="eastAsia"/>
                <w:sz w:val="28"/>
                <w:szCs w:val="28"/>
              </w:rPr>
              <w:t>期刊或</w:t>
            </w:r>
            <w:r>
              <w:rPr>
                <w:rFonts w:eastAsia="標楷體"/>
                <w:sz w:val="28"/>
                <w:szCs w:val="28"/>
              </w:rPr>
              <w:t>ISBN 5</w:t>
            </w:r>
            <w:r>
              <w:rPr>
                <w:rFonts w:eastAsia="標楷體" w:hint="eastAsia"/>
                <w:sz w:val="28"/>
                <w:szCs w:val="28"/>
              </w:rPr>
              <w:t>點。</w:t>
            </w:r>
          </w:p>
          <w:p w:rsidR="00B80A1C" w:rsidRDefault="00B80A1C" w:rsidP="00B80A1C">
            <w:pPr>
              <w:numPr>
                <w:ilvl w:val="0"/>
                <w:numId w:val="1"/>
              </w:numPr>
              <w:snapToGrid w:val="0"/>
              <w:spacing w:line="240" w:lineRule="atLeast"/>
              <w:ind w:left="907" w:hanging="567"/>
              <w:rPr>
                <w:rFonts w:eastAsia="標楷體"/>
                <w:sz w:val="28"/>
                <w:szCs w:val="28"/>
              </w:rPr>
            </w:pPr>
            <w:r>
              <w:rPr>
                <w:rFonts w:eastAsia="標楷體" w:hint="eastAsia"/>
                <w:sz w:val="28"/>
                <w:szCs w:val="28"/>
              </w:rPr>
              <w:t>凡獲得中央部會相關研究計畫案</w:t>
            </w:r>
            <w:r>
              <w:rPr>
                <w:rFonts w:eastAsia="標楷體"/>
                <w:sz w:val="28"/>
                <w:szCs w:val="28"/>
              </w:rPr>
              <w:t>(</w:t>
            </w:r>
            <w:r>
              <w:rPr>
                <w:rFonts w:eastAsia="標楷體" w:hint="eastAsia"/>
                <w:sz w:val="28"/>
                <w:szCs w:val="28"/>
              </w:rPr>
              <w:t>計畫執行需達一年以上</w:t>
            </w:r>
            <w:r>
              <w:rPr>
                <w:rFonts w:eastAsia="標楷體"/>
                <w:sz w:val="28"/>
                <w:szCs w:val="28"/>
              </w:rPr>
              <w:t>)</w:t>
            </w:r>
            <w:r>
              <w:rPr>
                <w:rFonts w:eastAsia="標楷體" w:hint="eastAsia"/>
                <w:sz w:val="28"/>
                <w:szCs w:val="28"/>
              </w:rPr>
              <w:t>，並擔任計畫主持人者，每案得</w:t>
            </w:r>
            <w:r>
              <w:rPr>
                <w:rFonts w:eastAsia="標楷體" w:hint="eastAsia"/>
                <w:sz w:val="28"/>
                <w:szCs w:val="28"/>
              </w:rPr>
              <w:t>30</w:t>
            </w:r>
            <w:r>
              <w:rPr>
                <w:rFonts w:eastAsia="標楷體" w:hint="eastAsia"/>
                <w:sz w:val="28"/>
                <w:szCs w:val="28"/>
              </w:rPr>
              <w:t>點，共同主持人者，每案得</w:t>
            </w:r>
            <w:r>
              <w:rPr>
                <w:rFonts w:eastAsia="標楷體" w:hint="eastAsia"/>
                <w:sz w:val="28"/>
                <w:szCs w:val="28"/>
              </w:rPr>
              <w:t>12</w:t>
            </w:r>
            <w:r>
              <w:rPr>
                <w:rFonts w:eastAsia="標楷體" w:hint="eastAsia"/>
                <w:sz w:val="28"/>
                <w:szCs w:val="28"/>
              </w:rPr>
              <w:t>點。</w:t>
            </w:r>
          </w:p>
          <w:p w:rsidR="00B80A1C" w:rsidRDefault="00B80A1C" w:rsidP="00B80A1C">
            <w:pPr>
              <w:numPr>
                <w:ilvl w:val="0"/>
                <w:numId w:val="1"/>
              </w:numPr>
              <w:snapToGrid w:val="0"/>
              <w:spacing w:line="240" w:lineRule="atLeast"/>
              <w:ind w:left="907" w:hanging="567"/>
              <w:rPr>
                <w:rFonts w:eastAsia="標楷體"/>
                <w:sz w:val="28"/>
                <w:szCs w:val="28"/>
              </w:rPr>
            </w:pPr>
            <w:r>
              <w:rPr>
                <w:rFonts w:eastAsia="標楷體" w:hint="eastAsia"/>
                <w:sz w:val="28"/>
                <w:szCs w:val="28"/>
              </w:rPr>
              <w:t>二人以上共同作者，第一作者及通訊作者依標準核給之</w:t>
            </w:r>
            <w:r>
              <w:rPr>
                <w:rFonts w:eastAsia="標楷體"/>
                <w:sz w:val="28"/>
                <w:szCs w:val="28"/>
              </w:rPr>
              <w:t>80%</w:t>
            </w:r>
            <w:r>
              <w:rPr>
                <w:rFonts w:eastAsia="標楷體" w:hint="eastAsia"/>
                <w:sz w:val="28"/>
                <w:szCs w:val="28"/>
              </w:rPr>
              <w:t>點數，第二作者依標準核給之</w:t>
            </w:r>
            <w:r>
              <w:rPr>
                <w:rFonts w:eastAsia="標楷體"/>
                <w:sz w:val="28"/>
                <w:szCs w:val="28"/>
              </w:rPr>
              <w:t>60%</w:t>
            </w:r>
            <w:r>
              <w:rPr>
                <w:rFonts w:eastAsia="標楷體" w:hint="eastAsia"/>
                <w:sz w:val="28"/>
                <w:szCs w:val="28"/>
              </w:rPr>
              <w:t>，其後之作者依標準核給之</w:t>
            </w:r>
            <w:r>
              <w:rPr>
                <w:rFonts w:eastAsia="標楷體" w:hint="eastAsia"/>
                <w:sz w:val="28"/>
                <w:szCs w:val="28"/>
              </w:rPr>
              <w:t>4</w:t>
            </w:r>
            <w:r>
              <w:rPr>
                <w:rFonts w:eastAsia="標楷體"/>
                <w:sz w:val="28"/>
                <w:szCs w:val="28"/>
              </w:rPr>
              <w:t>0%</w:t>
            </w:r>
            <w:r>
              <w:rPr>
                <w:rFonts w:eastAsia="標楷體" w:hint="eastAsia"/>
                <w:sz w:val="28"/>
                <w:szCs w:val="28"/>
              </w:rPr>
              <w:t>點數。</w:t>
            </w:r>
          </w:p>
          <w:p w:rsidR="00B80A1C" w:rsidRDefault="00B80A1C" w:rsidP="00B80A1C">
            <w:pPr>
              <w:numPr>
                <w:ilvl w:val="0"/>
                <w:numId w:val="1"/>
              </w:numPr>
              <w:snapToGrid w:val="0"/>
              <w:spacing w:line="240" w:lineRule="atLeast"/>
              <w:ind w:left="907" w:hanging="567"/>
              <w:rPr>
                <w:rFonts w:eastAsia="標楷體"/>
                <w:sz w:val="28"/>
                <w:szCs w:val="28"/>
              </w:rPr>
            </w:pPr>
            <w:r>
              <w:rPr>
                <w:rFonts w:eastAsia="標楷體" w:hint="eastAsia"/>
                <w:sz w:val="28"/>
                <w:szCs w:val="28"/>
              </w:rPr>
              <w:t>本校專任教師參加國際、全國性運動競賽榮獲前八名者或指導學生參加國際、全國性運動競賽榮獲前八名者</w:t>
            </w:r>
            <w:r>
              <w:rPr>
                <w:rFonts w:eastAsia="標楷體"/>
                <w:sz w:val="28"/>
                <w:szCs w:val="28"/>
              </w:rPr>
              <w:t>20</w:t>
            </w:r>
            <w:r>
              <w:rPr>
                <w:rFonts w:eastAsia="標楷體" w:hint="eastAsia"/>
                <w:sz w:val="28"/>
                <w:szCs w:val="28"/>
              </w:rPr>
              <w:t>點。</w:t>
            </w:r>
          </w:p>
        </w:tc>
      </w:tr>
      <w:tr w:rsidR="00B80A1C" w:rsidTr="006C316E">
        <w:trPr>
          <w:trHeight w:val="701"/>
          <w:tblCellSpacing w:w="15" w:type="dxa"/>
          <w:jc w:val="center"/>
        </w:trPr>
        <w:tc>
          <w:tcPr>
            <w:tcW w:w="1012" w:type="dxa"/>
            <w:tcMar>
              <w:top w:w="15" w:type="dxa"/>
              <w:left w:w="15" w:type="dxa"/>
              <w:bottom w:w="15" w:type="dxa"/>
              <w:right w:w="15" w:type="dxa"/>
            </w:tcMar>
            <w:hideMark/>
          </w:tcPr>
          <w:p w:rsidR="00B80A1C" w:rsidRDefault="00B80A1C" w:rsidP="006C316E">
            <w:pPr>
              <w:widowControl/>
              <w:kinsoku w:val="0"/>
              <w:overflowPunct w:val="0"/>
              <w:autoSpaceDE w:val="0"/>
              <w:autoSpaceDN w:val="0"/>
              <w:snapToGrid w:val="0"/>
              <w:spacing w:line="240" w:lineRule="atLeast"/>
              <w:rPr>
                <w:rFonts w:eastAsia="標楷體"/>
                <w:sz w:val="28"/>
                <w:szCs w:val="28"/>
              </w:rPr>
            </w:pPr>
            <w:r>
              <w:rPr>
                <w:rFonts w:eastAsia="標楷體" w:hint="eastAsia"/>
                <w:color w:val="000000"/>
                <w:sz w:val="28"/>
                <w:szCs w:val="28"/>
              </w:rPr>
              <w:t>第四條</w:t>
            </w:r>
          </w:p>
        </w:tc>
        <w:tc>
          <w:tcPr>
            <w:tcW w:w="8460" w:type="dxa"/>
            <w:tcMar>
              <w:top w:w="15" w:type="dxa"/>
              <w:left w:w="15" w:type="dxa"/>
              <w:bottom w:w="15" w:type="dxa"/>
              <w:right w:w="15" w:type="dxa"/>
            </w:tcMar>
            <w:hideMark/>
          </w:tcPr>
          <w:p w:rsidR="00B80A1C" w:rsidRDefault="00B80A1C" w:rsidP="006C316E">
            <w:pPr>
              <w:kinsoku w:val="0"/>
              <w:overflowPunct w:val="0"/>
              <w:autoSpaceDE w:val="0"/>
              <w:autoSpaceDN w:val="0"/>
              <w:adjustRightInd w:val="0"/>
              <w:snapToGrid w:val="0"/>
              <w:spacing w:line="240" w:lineRule="atLeast"/>
              <w:ind w:rightChars="-24" w:right="-58"/>
              <w:jc w:val="both"/>
              <w:textAlignment w:val="baseline"/>
              <w:rPr>
                <w:rFonts w:eastAsia="標楷體"/>
                <w:sz w:val="28"/>
                <w:szCs w:val="28"/>
              </w:rPr>
            </w:pPr>
            <w:r>
              <w:rPr>
                <w:rFonts w:eastAsia="標楷體" w:hint="eastAsia"/>
                <w:sz w:val="28"/>
                <w:szCs w:val="28"/>
              </w:rPr>
              <w:t>各職級教師升等所需點數如下：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48"/>
            </w:tblGrid>
            <w:tr w:rsidR="00B80A1C" w:rsidTr="006C316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hint="eastAsia"/>
                      <w:color w:val="000000"/>
                      <w:sz w:val="28"/>
                      <w:szCs w:val="28"/>
                    </w:rPr>
                    <w:t>教師職級</w:t>
                  </w:r>
                </w:p>
              </w:tc>
              <w:tc>
                <w:tcPr>
                  <w:tcW w:w="224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hint="eastAsia"/>
                      <w:color w:val="000000"/>
                      <w:sz w:val="28"/>
                      <w:szCs w:val="28"/>
                    </w:rPr>
                    <w:t>點數標準</w:t>
                  </w:r>
                </w:p>
              </w:tc>
            </w:tr>
            <w:tr w:rsidR="00B80A1C" w:rsidTr="006C316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hint="eastAsia"/>
                      <w:color w:val="000000"/>
                      <w:sz w:val="28"/>
                      <w:szCs w:val="28"/>
                    </w:rPr>
                    <w:t>教授</w:t>
                  </w:r>
                </w:p>
              </w:tc>
              <w:tc>
                <w:tcPr>
                  <w:tcW w:w="224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color w:val="000000"/>
                      <w:sz w:val="28"/>
                      <w:szCs w:val="28"/>
                    </w:rPr>
                    <w:t>100</w:t>
                  </w:r>
                  <w:r>
                    <w:rPr>
                      <w:rFonts w:eastAsia="標楷體" w:hint="eastAsia"/>
                      <w:color w:val="000000"/>
                      <w:sz w:val="28"/>
                      <w:szCs w:val="28"/>
                    </w:rPr>
                    <w:t>點</w:t>
                  </w:r>
                  <w:r>
                    <w:rPr>
                      <w:rFonts w:eastAsia="標楷體"/>
                      <w:color w:val="000000"/>
                      <w:sz w:val="28"/>
                      <w:szCs w:val="28"/>
                    </w:rPr>
                    <w:t>(</w:t>
                  </w:r>
                  <w:r>
                    <w:rPr>
                      <w:rFonts w:eastAsia="標楷體" w:hint="eastAsia"/>
                      <w:color w:val="000000"/>
                      <w:sz w:val="28"/>
                      <w:szCs w:val="28"/>
                    </w:rPr>
                    <w:t>含</w:t>
                  </w:r>
                  <w:r>
                    <w:rPr>
                      <w:rFonts w:eastAsia="標楷體"/>
                      <w:color w:val="000000"/>
                      <w:sz w:val="28"/>
                      <w:szCs w:val="28"/>
                    </w:rPr>
                    <w:t>)</w:t>
                  </w:r>
                  <w:r>
                    <w:rPr>
                      <w:rFonts w:eastAsia="標楷體" w:hint="eastAsia"/>
                      <w:color w:val="000000"/>
                      <w:sz w:val="28"/>
                      <w:szCs w:val="28"/>
                    </w:rPr>
                    <w:t>以上</w:t>
                  </w:r>
                </w:p>
              </w:tc>
            </w:tr>
            <w:tr w:rsidR="00B80A1C" w:rsidTr="006C316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hint="eastAsia"/>
                      <w:color w:val="000000"/>
                      <w:sz w:val="28"/>
                      <w:szCs w:val="28"/>
                    </w:rPr>
                    <w:t>副教授</w:t>
                  </w:r>
                </w:p>
              </w:tc>
              <w:tc>
                <w:tcPr>
                  <w:tcW w:w="224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color w:val="000000"/>
                      <w:sz w:val="28"/>
                      <w:szCs w:val="28"/>
                    </w:rPr>
                    <w:t>75</w:t>
                  </w:r>
                  <w:r>
                    <w:rPr>
                      <w:rFonts w:eastAsia="標楷體" w:hint="eastAsia"/>
                      <w:color w:val="000000"/>
                      <w:sz w:val="28"/>
                      <w:szCs w:val="28"/>
                    </w:rPr>
                    <w:t>點</w:t>
                  </w:r>
                  <w:r>
                    <w:rPr>
                      <w:rFonts w:eastAsia="標楷體"/>
                      <w:color w:val="000000"/>
                      <w:sz w:val="28"/>
                      <w:szCs w:val="28"/>
                    </w:rPr>
                    <w:t>(</w:t>
                  </w:r>
                  <w:r>
                    <w:rPr>
                      <w:rFonts w:eastAsia="標楷體" w:hint="eastAsia"/>
                      <w:color w:val="000000"/>
                      <w:sz w:val="28"/>
                      <w:szCs w:val="28"/>
                    </w:rPr>
                    <w:t>含</w:t>
                  </w:r>
                  <w:r>
                    <w:rPr>
                      <w:rFonts w:eastAsia="標楷體"/>
                      <w:color w:val="000000"/>
                      <w:sz w:val="28"/>
                      <w:szCs w:val="28"/>
                    </w:rPr>
                    <w:t>)</w:t>
                  </w:r>
                  <w:r>
                    <w:rPr>
                      <w:rFonts w:eastAsia="標楷體" w:hint="eastAsia"/>
                      <w:color w:val="000000"/>
                      <w:sz w:val="28"/>
                      <w:szCs w:val="28"/>
                    </w:rPr>
                    <w:t>以上</w:t>
                  </w:r>
                </w:p>
              </w:tc>
            </w:tr>
            <w:tr w:rsidR="00B80A1C" w:rsidTr="006C316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hint="eastAsia"/>
                      <w:color w:val="000000"/>
                      <w:sz w:val="28"/>
                      <w:szCs w:val="28"/>
                    </w:rPr>
                    <w:t>助理教授</w:t>
                  </w:r>
                </w:p>
              </w:tc>
              <w:tc>
                <w:tcPr>
                  <w:tcW w:w="2248" w:type="dxa"/>
                  <w:tcBorders>
                    <w:top w:val="single" w:sz="4" w:space="0" w:color="auto"/>
                    <w:left w:val="single" w:sz="4" w:space="0" w:color="auto"/>
                    <w:bottom w:val="single" w:sz="4" w:space="0" w:color="auto"/>
                    <w:right w:val="single" w:sz="4" w:space="0" w:color="auto"/>
                  </w:tcBorders>
                  <w:vAlign w:val="center"/>
                  <w:hideMark/>
                </w:tcPr>
                <w:p w:rsidR="00B80A1C" w:rsidRDefault="00B80A1C" w:rsidP="006C316E">
                  <w:pPr>
                    <w:kinsoku w:val="0"/>
                    <w:overflowPunct w:val="0"/>
                    <w:autoSpaceDE w:val="0"/>
                    <w:autoSpaceDN w:val="0"/>
                    <w:snapToGrid w:val="0"/>
                    <w:spacing w:line="240" w:lineRule="atLeast"/>
                    <w:ind w:right="-1"/>
                    <w:jc w:val="center"/>
                    <w:rPr>
                      <w:rFonts w:eastAsia="標楷體"/>
                      <w:color w:val="000000"/>
                      <w:sz w:val="28"/>
                      <w:szCs w:val="28"/>
                    </w:rPr>
                  </w:pPr>
                  <w:r>
                    <w:rPr>
                      <w:rFonts w:eastAsia="標楷體"/>
                      <w:color w:val="000000"/>
                      <w:sz w:val="28"/>
                      <w:szCs w:val="28"/>
                    </w:rPr>
                    <w:t>50</w:t>
                  </w:r>
                  <w:r>
                    <w:rPr>
                      <w:rFonts w:eastAsia="標楷體" w:hint="eastAsia"/>
                      <w:color w:val="000000"/>
                      <w:sz w:val="28"/>
                      <w:szCs w:val="28"/>
                    </w:rPr>
                    <w:t>點</w:t>
                  </w:r>
                  <w:r>
                    <w:rPr>
                      <w:rFonts w:eastAsia="標楷體"/>
                      <w:color w:val="000000"/>
                      <w:sz w:val="28"/>
                      <w:szCs w:val="28"/>
                    </w:rPr>
                    <w:t>(</w:t>
                  </w:r>
                  <w:r>
                    <w:rPr>
                      <w:rFonts w:eastAsia="標楷體" w:hint="eastAsia"/>
                      <w:color w:val="000000"/>
                      <w:sz w:val="28"/>
                      <w:szCs w:val="28"/>
                    </w:rPr>
                    <w:t>含</w:t>
                  </w:r>
                  <w:r>
                    <w:rPr>
                      <w:rFonts w:eastAsia="標楷體"/>
                      <w:color w:val="000000"/>
                      <w:sz w:val="28"/>
                      <w:szCs w:val="28"/>
                    </w:rPr>
                    <w:t>)</w:t>
                  </w:r>
                  <w:r>
                    <w:rPr>
                      <w:rFonts w:eastAsia="標楷體" w:hint="eastAsia"/>
                      <w:color w:val="000000"/>
                      <w:sz w:val="28"/>
                      <w:szCs w:val="28"/>
                    </w:rPr>
                    <w:t>以上</w:t>
                  </w:r>
                </w:p>
              </w:tc>
            </w:tr>
          </w:tbl>
          <w:p w:rsidR="00B80A1C" w:rsidRDefault="00B80A1C" w:rsidP="006C316E">
            <w:pPr>
              <w:widowControl/>
              <w:jc w:val="center"/>
              <w:rPr>
                <w:kern w:val="0"/>
                <w:sz w:val="20"/>
                <w:szCs w:val="20"/>
              </w:rPr>
            </w:pPr>
          </w:p>
        </w:tc>
      </w:tr>
      <w:tr w:rsidR="00B80A1C" w:rsidTr="006C316E">
        <w:trPr>
          <w:trHeight w:val="701"/>
          <w:tblCellSpacing w:w="15" w:type="dxa"/>
          <w:jc w:val="center"/>
        </w:trPr>
        <w:tc>
          <w:tcPr>
            <w:tcW w:w="1012" w:type="dxa"/>
            <w:tcMar>
              <w:top w:w="15" w:type="dxa"/>
              <w:left w:w="15" w:type="dxa"/>
              <w:bottom w:w="15" w:type="dxa"/>
              <w:right w:w="15" w:type="dxa"/>
            </w:tcMar>
            <w:hideMark/>
          </w:tcPr>
          <w:p w:rsidR="00B80A1C" w:rsidRDefault="00B80A1C" w:rsidP="006C316E">
            <w:pPr>
              <w:widowControl/>
              <w:kinsoku w:val="0"/>
              <w:overflowPunct w:val="0"/>
              <w:autoSpaceDE w:val="0"/>
              <w:autoSpaceDN w:val="0"/>
              <w:snapToGrid w:val="0"/>
              <w:spacing w:line="240" w:lineRule="atLeast"/>
              <w:rPr>
                <w:rFonts w:eastAsia="標楷體"/>
                <w:color w:val="000000"/>
                <w:sz w:val="28"/>
                <w:szCs w:val="28"/>
              </w:rPr>
            </w:pPr>
            <w:r>
              <w:rPr>
                <w:rFonts w:eastAsia="標楷體" w:hint="eastAsia"/>
                <w:color w:val="000000"/>
                <w:sz w:val="28"/>
                <w:szCs w:val="28"/>
              </w:rPr>
              <w:t>第五條</w:t>
            </w:r>
          </w:p>
        </w:tc>
        <w:tc>
          <w:tcPr>
            <w:tcW w:w="8460" w:type="dxa"/>
            <w:tcMar>
              <w:top w:w="15" w:type="dxa"/>
              <w:left w:w="15" w:type="dxa"/>
              <w:bottom w:w="15" w:type="dxa"/>
              <w:right w:w="15" w:type="dxa"/>
            </w:tcMar>
            <w:hideMark/>
          </w:tcPr>
          <w:p w:rsidR="00B80A1C" w:rsidRDefault="00B80A1C" w:rsidP="006C316E">
            <w:pPr>
              <w:kinsoku w:val="0"/>
              <w:overflowPunct w:val="0"/>
              <w:autoSpaceDE w:val="0"/>
              <w:autoSpaceDN w:val="0"/>
              <w:adjustRightInd w:val="0"/>
              <w:snapToGrid w:val="0"/>
              <w:spacing w:line="240" w:lineRule="atLeast"/>
              <w:ind w:rightChars="-24" w:right="-58"/>
              <w:jc w:val="both"/>
              <w:textAlignment w:val="baseline"/>
              <w:rPr>
                <w:rFonts w:eastAsia="標楷體"/>
                <w:color w:val="000000"/>
                <w:sz w:val="28"/>
                <w:szCs w:val="28"/>
              </w:rPr>
            </w:pPr>
            <w:r>
              <w:rPr>
                <w:rFonts w:eastAsia="標楷體" w:hint="eastAsia"/>
                <w:color w:val="000000"/>
                <w:sz w:val="28"/>
                <w:szCs w:val="28"/>
              </w:rPr>
              <w:t>本準則經</w:t>
            </w:r>
            <w:r>
              <w:rPr>
                <w:rFonts w:eastAsia="標楷體" w:hint="eastAsia"/>
                <w:sz w:val="28"/>
                <w:szCs w:val="28"/>
              </w:rPr>
              <w:t>中心業務會議</w:t>
            </w:r>
            <w:r>
              <w:rPr>
                <w:rFonts w:eastAsia="標楷體" w:hint="eastAsia"/>
                <w:color w:val="000000"/>
                <w:sz w:val="28"/>
                <w:szCs w:val="28"/>
              </w:rPr>
              <w:t>通過</w:t>
            </w:r>
            <w:proofErr w:type="gramStart"/>
            <w:r>
              <w:rPr>
                <w:rFonts w:eastAsia="標楷體" w:hint="eastAsia"/>
                <w:color w:val="000000"/>
                <w:sz w:val="28"/>
                <w:szCs w:val="28"/>
              </w:rPr>
              <w:t>並陳校教</w:t>
            </w:r>
            <w:proofErr w:type="gramEnd"/>
            <w:r>
              <w:rPr>
                <w:rFonts w:eastAsia="標楷體" w:hint="eastAsia"/>
                <w:color w:val="000000"/>
                <w:sz w:val="28"/>
                <w:szCs w:val="28"/>
              </w:rPr>
              <w:t>評會核備後公佈實施，修正時亦同。</w:t>
            </w:r>
          </w:p>
        </w:tc>
      </w:tr>
    </w:tbl>
    <w:p w:rsidR="004D1C96" w:rsidRPr="00B80A1C" w:rsidRDefault="004D1C96" w:rsidP="00B80A1C"/>
    <w:sectPr w:rsidR="004D1C96" w:rsidRPr="00B80A1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0723D"/>
    <w:multiLevelType w:val="hybridMultilevel"/>
    <w:tmpl w:val="39189C26"/>
    <w:lvl w:ilvl="0" w:tplc="08AAE3D0">
      <w:start w:val="1"/>
      <w:numFmt w:val="taiwaneseCountingThousand"/>
      <w:lvlText w:val="(%1)"/>
      <w:lvlJc w:val="left"/>
      <w:pPr>
        <w:ind w:left="1061" w:hanging="72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C"/>
    <w:rsid w:val="004D1C96"/>
    <w:rsid w:val="00B80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411E1-A0D0-4EE6-A379-962A75EF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1</cp:revision>
  <dcterms:created xsi:type="dcterms:W3CDTF">2019-03-11T06:33:00Z</dcterms:created>
  <dcterms:modified xsi:type="dcterms:W3CDTF">2019-03-11T06:36:00Z</dcterms:modified>
</cp:coreProperties>
</file>